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Foalhavahi and the Foundations of Sovereignty: The Maldivian Perspective on Chagos, Colonialism, and Decolonization</w:t>
      </w:r>
    </w:p>
    <w:p>
      <w:r>
        <w:t>This paper presents the Maldives’ comprehensive claim over the Chagos Archipelago, asserting its inherent pre-colonial sovereignty and directly challenging dominant narratives surrounding indigeneity, decolonization, and territorial entitlement. It critiques historical distortions resulting from colonial doctrines and contemporary misapplications of international law, particularly the principle of uti possidetis juris.</w:t>
      </w:r>
    </w:p>
    <w:p>
      <w:r>
        <w:t>The paper begins by rejecting the notion of a "Chagossian" indigenous identity, framing it as a colonial construct rooted in the forced displacement of enslaved peoples and indentured laborers by French and British colonial administrations. It argues that France’s 1715 claim to Chagos (then known as Foalhavahi) was based on the now discredited legal fiction of terra nullius, a doctrine that denied pre-existing populations and allowed colonial expansion under false premises.</w:t>
      </w:r>
    </w:p>
    <w:p>
      <w:r>
        <w:t>The Maldives' pre-colonial claim is grounded in its demonstrated indigeneity, historical navigation, and geological continuity with Chagos. The paper presents this as a legitimate basis for territorial integrity and self-determination. The Chagossians, it contends, were subjected to "double displacement"—first from their native homelands and then from Chagos—thus lacking aboriginal or indigenous title to the archipelago.</w:t>
      </w:r>
    </w:p>
    <w:p>
      <w:r>
        <w:t>Importantly, the paper introduces the “Consistency Principle in Decolonization”, which demands that if decolonization is to be fair and effective, it must address the original and earliest colonial wrongs—including France’s and Britain’s illegitimate acquisition of Chagos from the Maldives. To prioritize the later detachment of Chagos from Mauritius while ignoring its original annexation from the Maldives undermines the moral foundation of decolonization and perpetuates injustice.</w:t>
      </w:r>
    </w:p>
    <w:p>
      <w:r>
        <w:t>The timeline of colonial events shows the Maldives as a continuously sovereign entity long before Mauritius existed as a political entity. The creation of the British Indian Ocean Territory (BIOT) in 1965 and the subsequent detachment from Mauritius should not obscure the Maldives’ prior claims, especially as it had already achieved recognized independence earlier that year (July 26, 1965). A planned 2025 agreement to transfer sovereignty over Chagos to Mauritius only further marginalizes Maldivian claims.</w:t>
      </w:r>
    </w:p>
    <w:p>
      <w:r>
        <w:t>The paper critiques uti possidetis juris for enshrining colonial administrative lines at the expense of pre-colonial territorial realities. From a Maldivian perspective, Mauritius’ claim—though framed in anti-colonial rhetoric—ultimately reinforces colonial-era decisions and negates deeper, more legitimate indigenous connections.</w:t>
      </w:r>
    </w:p>
    <w:p>
      <w:r>
        <w:t>The traditional Maldivian naming conventions for atolls further reinforce the idea that Foalhavahi could serve as the name for the entire archipelago based on cultural-linguistic patterns, as seen in other atoll designations like Huvadhoo (from Suvadhoo Island). The Maldivian model of nested or derived geographic naming validates the historical integration of Chagos into the Maldivian archipelagic identity.</w:t>
      </w:r>
    </w:p>
    <w:p>
      <w:r>
        <w:t>Ultimately, the paper stresses that colonization of even small components of a geographically and culturally unified whole compromises the integrity of the entire national identity. Thus, restoring the Chagos Archipelago to Maldivian sovereignty is essential not only for legal and historical justice, but also for the completion of authentic decolonization.</w:t>
      </w:r>
    </w:p>
    <w:p>
      <w:pPr>
        <w:pStyle w:val="Heading1"/>
      </w:pPr>
      <w:r>
        <w:t>Key Citations (APA Style):</w:t>
      </w:r>
    </w:p>
    <w:p>
      <w:pPr>
        <w:pStyle w:val="ListBullet"/>
      </w:pPr>
      <w:r>
        <w:t>Dom Manuel. (1560, June 25). Letter-patent including the seven islands of Pullobay.</w:t>
      </w:r>
    </w:p>
    <w:p>
      <w:pPr>
        <w:pStyle w:val="ListBullet"/>
      </w:pPr>
      <w:r>
        <w:t>Forbes, A. D. W. (1986). Warlords and Muslims in Chinese Central Asia: A Political History of Republican Sinkiang 1911–1949. Cambridge University Press.</w:t>
      </w:r>
    </w:p>
    <w:p>
      <w:pPr>
        <w:pStyle w:val="ListBullet"/>
      </w:pPr>
      <w:r>
        <w:t>Malimee, M. (1899). Navigational Book. Manuscript from Araairuge in Addoo Huhudhoo.</w:t>
      </w:r>
    </w:p>
    <w:p>
      <w:pPr>
        <w:pStyle w:val="ListBullet"/>
      </w:pPr>
      <w:r>
        <w:t>Lutfi, M. I. (1995). The Profile of the Geography of Maldives Islands. Malé: Department of Heritage.</w:t>
      </w:r>
    </w:p>
    <w:p>
      <w:pPr>
        <w:pStyle w:val="ListBullet"/>
      </w:pPr>
      <w:r>
        <w:t>Najeeb, A. (2001). Dhanbidhoo Loamaafaanu (1196/97). National Museum of Maldives. Identification number: M004 (RN 1894).</w:t>
      </w:r>
    </w:p>
    <w:p>
      <w:pPr>
        <w:pStyle w:val="ListBullet"/>
      </w:pPr>
      <w:r>
        <w:t>Pereira, J. F. M. (1899). Ta-ssi-yang-kuo; Archivos e Annaes do Extremo-Oriente Portuguez, Vols. 3–4. Lisbon.</w:t>
      </w:r>
    </w:p>
    <w:p>
      <w:pPr>
        <w:pStyle w:val="ListBullet"/>
      </w:pPr>
      <w:r>
        <w:t>Beaujard, P. (2019). The Worlds of the Indian Ocean: A Global History (Vols. 1–2). Cambridge University Press.</w:t>
      </w:r>
    </w:p>
    <w:p>
      <w:pPr>
        <w:pStyle w:val="ListBullet"/>
      </w:pPr>
      <w:r>
        <w:t>World Map. (n.d.). Geographical proximity of Maldives to Chagos Archipelago.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